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0F" w:rsidRPr="007D512D" w:rsidRDefault="004F1EDA" w:rsidP="00B3500F">
      <w:pPr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4F1EDA">
        <w:rPr>
          <w:rFonts w:ascii="Times New Roman" w:hAnsi="Times New Roman"/>
          <w:b/>
          <w:bCs/>
          <w:kern w:val="1"/>
          <w:sz w:val="24"/>
          <w:szCs w:val="26"/>
        </w:rPr>
        <w:t>Разработка комплексного подхода к методам типирования серовариантов и детектирования токсигенных вариантов Рasteurella multocida биохимическим, биологическим методом и методом ПЦР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7D512D" w:rsidRDefault="004F1EDA" w:rsidP="007D51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EDA">
              <w:rPr>
                <w:rFonts w:ascii="Times New Roman" w:hAnsi="Times New Roman"/>
                <w:bCs/>
                <w:kern w:val="1"/>
                <w:szCs w:val="26"/>
              </w:rPr>
              <w:t>Разработка комплексного подхода к методам типирования серовариантов и детектирования токсигенных вариантов Рasteurella multocida биохимическим, биологическим методом и методом ПЦР</w:t>
            </w:r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D4732A" w:rsidRDefault="00C24072" w:rsidP="007D51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2020-</w:t>
            </w:r>
            <w:r w:rsidR="007D512D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 xml:space="preserve"> гг.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Пастереллезы, - высококонтагиозные инфекционные заболевания сельскохозяйственных и диких животных, пушных зверей и птиц с высокой летальностью и тенденцией к стационарности. Впервые Pasteurella multocida была показана как возбудитель холеры домашней птицы Луи Пастером в 1881 году. 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>Пастереллезы регистрируются во всех странах мира с развитым животноводством, свиноводством, птицеводством и кролиководством, в том числе и в РФ и остаются актуальной проблемой как для вет</w:t>
            </w:r>
            <w:r>
              <w:rPr>
                <w:rFonts w:ascii="Times New Roman" w:hAnsi="Times New Roman"/>
                <w:kern w:val="1"/>
                <w:szCs w:val="26"/>
              </w:rPr>
              <w:t>еринарии, так и для медицины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. По данным Департамента ветеринарии МСХ РФ в Российской Федерации ежегодно регистрируется от 20 до 40 неблагополучных по пастереллезу пунктов.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>Заболевание характеризуется при остром течении признаками септицемии, крупозным воспалением и отёком лёгких, плевритом, а при хроническом течении – гнойно-некротической пневмонией, артритом, маститом, керато-конъюнктивитом, эндометритом и иногда энтеритом.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>В настоящее время общепризнанно, что помимо геморрагической септицемии P. multocida вызывает и другие формы пастереллеза с клиникой пневмонии, мастита, атрофического ринита, тонзиллита, менингита, энцефалита, абортов и абсцессов у разнообразных домашних и диких животных во многих страна</w:t>
            </w:r>
            <w:r>
              <w:rPr>
                <w:rFonts w:ascii="Times New Roman" w:hAnsi="Times New Roman"/>
                <w:kern w:val="1"/>
                <w:szCs w:val="26"/>
              </w:rPr>
              <w:t>х мира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.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>По данным Департамента ветеринарии МСХ РФ в Российской федерации ежегодно регистрируется от 20 до 40 неблагополучных по пастереллезу животноводческих, свиноводческих, птицеводческих пунктов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>Пастереллезы животных способны вызывать представители нескольких серогрупп пастерелл. Большинство из них вызывают у животных хроническое носительство. Пастереллез наносит значительный экономический ущерб, складывающийся из высокой летальности животных, затрат на лечение, и других ветеринарно-санитарных мероприятий по ликвидации и профилактике заболевания. Кроме того, переболевшие животные длительное время остаются носителями пастерелл и служат источником возбудителя ин</w:t>
            </w:r>
            <w:r>
              <w:rPr>
                <w:rFonts w:ascii="Times New Roman" w:hAnsi="Times New Roman"/>
                <w:kern w:val="1"/>
                <w:szCs w:val="26"/>
              </w:rPr>
              <w:t>фекции для здоровых животных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.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>Многими авторами подчёркивается сложность антигенного состава Pasteurella multocida с различной степенью активности отдельных антигенных компонентов.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>Бактерии рода Pasteurella, семейства Pasteurellaceae</w:t>
            </w:r>
            <w:r w:rsidRPr="007D512D">
              <w:rPr>
                <w:rFonts w:ascii="Times New Roman" w:hAnsi="Times New Roman"/>
                <w:i/>
                <w:iCs/>
                <w:spacing w:val="45"/>
                <w:kern w:val="1"/>
                <w:szCs w:val="26"/>
              </w:rPr>
              <w:t xml:space="preserve"> 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н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е</w:t>
            </w:r>
            <w:r w:rsidRPr="007D512D">
              <w:rPr>
                <w:rFonts w:ascii="Times New Roman" w:hAnsi="Times New Roman"/>
                <w:spacing w:val="5"/>
                <w:kern w:val="1"/>
                <w:szCs w:val="26"/>
              </w:rPr>
              <w:t>о</w:t>
            </w:r>
            <w:r w:rsidRPr="007D512D">
              <w:rPr>
                <w:rFonts w:ascii="Times New Roman" w:hAnsi="Times New Roman"/>
                <w:spacing w:val="-2"/>
                <w:kern w:val="1"/>
                <w:szCs w:val="26"/>
              </w:rPr>
              <w:t>д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н</w:t>
            </w:r>
            <w:r w:rsidRPr="007D512D">
              <w:rPr>
                <w:rFonts w:ascii="Times New Roman" w:hAnsi="Times New Roman"/>
                <w:spacing w:val="5"/>
                <w:kern w:val="1"/>
                <w:szCs w:val="26"/>
              </w:rPr>
              <w:t>о</w:t>
            </w:r>
            <w:r w:rsidRPr="007D512D">
              <w:rPr>
                <w:rFonts w:ascii="Times New Roman" w:hAnsi="Times New Roman"/>
                <w:spacing w:val="-5"/>
                <w:kern w:val="1"/>
                <w:szCs w:val="26"/>
              </w:rPr>
              <w:t>р</w:t>
            </w:r>
            <w:r w:rsidRPr="007D512D">
              <w:rPr>
                <w:rFonts w:ascii="Times New Roman" w:hAnsi="Times New Roman"/>
                <w:spacing w:val="5"/>
                <w:kern w:val="1"/>
                <w:szCs w:val="26"/>
              </w:rPr>
              <w:t>о</w:t>
            </w:r>
            <w:r w:rsidRPr="007D512D">
              <w:rPr>
                <w:rFonts w:ascii="Times New Roman" w:hAnsi="Times New Roman"/>
                <w:spacing w:val="-2"/>
                <w:kern w:val="1"/>
                <w:szCs w:val="26"/>
              </w:rPr>
              <w:t>д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н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ы</w:t>
            </w:r>
            <w:r w:rsidRPr="007D512D">
              <w:rPr>
                <w:rFonts w:ascii="Times New Roman" w:hAnsi="Times New Roman"/>
                <w:spacing w:val="41"/>
                <w:kern w:val="1"/>
                <w:szCs w:val="26"/>
              </w:rPr>
              <w:t xml:space="preserve"> 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в</w:t>
            </w:r>
            <w:r w:rsidRPr="007D512D">
              <w:rPr>
                <w:rFonts w:ascii="Times New Roman" w:hAnsi="Times New Roman"/>
                <w:spacing w:val="56"/>
                <w:kern w:val="1"/>
                <w:szCs w:val="26"/>
              </w:rPr>
              <w:t xml:space="preserve"> 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а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нти</w:t>
            </w:r>
            <w:r w:rsidRPr="007D512D">
              <w:rPr>
                <w:rFonts w:ascii="Times New Roman" w:hAnsi="Times New Roman"/>
                <w:spacing w:val="2"/>
                <w:kern w:val="1"/>
                <w:szCs w:val="26"/>
              </w:rPr>
              <w:t>г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е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н</w:t>
            </w:r>
            <w:r w:rsidRPr="007D512D">
              <w:rPr>
                <w:rFonts w:ascii="Times New Roman" w:hAnsi="Times New Roman"/>
                <w:spacing w:val="-4"/>
                <w:kern w:val="1"/>
                <w:szCs w:val="26"/>
              </w:rPr>
              <w:t>н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ом</w:t>
            </w:r>
            <w:r w:rsidRPr="007D512D">
              <w:rPr>
                <w:rFonts w:ascii="Times New Roman" w:hAnsi="Times New Roman"/>
                <w:spacing w:val="45"/>
                <w:kern w:val="1"/>
                <w:szCs w:val="26"/>
              </w:rPr>
              <w:t xml:space="preserve"> </w:t>
            </w:r>
            <w:r w:rsidRPr="007D512D">
              <w:rPr>
                <w:rFonts w:ascii="Times New Roman" w:hAnsi="Times New Roman"/>
                <w:spacing w:val="5"/>
                <w:kern w:val="1"/>
                <w:szCs w:val="26"/>
              </w:rPr>
              <w:t>о</w:t>
            </w:r>
            <w:r w:rsidRPr="007D512D">
              <w:rPr>
                <w:rFonts w:ascii="Times New Roman" w:hAnsi="Times New Roman"/>
                <w:spacing w:val="-4"/>
                <w:kern w:val="1"/>
                <w:szCs w:val="26"/>
              </w:rPr>
              <w:t>тн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о</w:t>
            </w:r>
            <w:r w:rsidRPr="007D512D">
              <w:rPr>
                <w:rFonts w:ascii="Times New Roman" w:hAnsi="Times New Roman"/>
                <w:spacing w:val="2"/>
                <w:kern w:val="1"/>
                <w:szCs w:val="26"/>
              </w:rPr>
              <w:t>ш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е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ни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и</w:t>
            </w:r>
            <w:r w:rsidRPr="007D512D">
              <w:rPr>
                <w:rFonts w:ascii="Times New Roman" w:hAnsi="Times New Roman"/>
                <w:spacing w:val="45"/>
                <w:kern w:val="1"/>
                <w:szCs w:val="26"/>
              </w:rPr>
              <w:t xml:space="preserve"> 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и</w:t>
            </w:r>
            <w:r w:rsidRPr="007D512D">
              <w:rPr>
                <w:rFonts w:ascii="Times New Roman" w:hAnsi="Times New Roman"/>
                <w:spacing w:val="55"/>
                <w:kern w:val="1"/>
                <w:szCs w:val="26"/>
              </w:rPr>
              <w:t xml:space="preserve"> </w:t>
            </w:r>
            <w:r w:rsidRPr="007D512D">
              <w:rPr>
                <w:rFonts w:ascii="Times New Roman" w:hAnsi="Times New Roman"/>
                <w:spacing w:val="-4"/>
                <w:kern w:val="1"/>
                <w:szCs w:val="26"/>
              </w:rPr>
              <w:t>п</w:t>
            </w:r>
            <w:r w:rsidRPr="007D512D">
              <w:rPr>
                <w:rFonts w:ascii="Times New Roman" w:hAnsi="Times New Roman"/>
                <w:spacing w:val="5"/>
                <w:kern w:val="1"/>
                <w:szCs w:val="26"/>
              </w:rPr>
              <w:t>о</w:t>
            </w:r>
            <w:r w:rsidRPr="007D512D">
              <w:rPr>
                <w:rFonts w:ascii="Times New Roman" w:hAnsi="Times New Roman"/>
                <w:spacing w:val="-2"/>
                <w:kern w:val="1"/>
                <w:szCs w:val="26"/>
              </w:rPr>
              <w:t>д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р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а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з</w:t>
            </w:r>
            <w:r w:rsidRPr="007D512D">
              <w:rPr>
                <w:rFonts w:ascii="Times New Roman" w:hAnsi="Times New Roman"/>
                <w:spacing w:val="-2"/>
                <w:kern w:val="1"/>
                <w:szCs w:val="26"/>
              </w:rPr>
              <w:t>д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е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ля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ю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т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с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я</w:t>
            </w:r>
            <w:r w:rsidRPr="007D512D">
              <w:rPr>
                <w:rFonts w:ascii="Times New Roman" w:hAnsi="Times New Roman"/>
                <w:spacing w:val="39"/>
                <w:kern w:val="1"/>
                <w:szCs w:val="26"/>
              </w:rPr>
              <w:t xml:space="preserve"> 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н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а</w:t>
            </w:r>
            <w:r w:rsidRPr="007D512D">
              <w:rPr>
                <w:rFonts w:ascii="Times New Roman" w:hAnsi="Times New Roman"/>
                <w:spacing w:val="52"/>
                <w:kern w:val="1"/>
                <w:szCs w:val="26"/>
              </w:rPr>
              <w:t xml:space="preserve"> </w:t>
            </w:r>
            <w:r w:rsidRPr="007D512D">
              <w:rPr>
                <w:rFonts w:ascii="Times New Roman" w:hAnsi="Times New Roman"/>
                <w:spacing w:val="2"/>
                <w:kern w:val="1"/>
                <w:szCs w:val="26"/>
              </w:rPr>
              <w:t xml:space="preserve">5 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капсульных групп </w:t>
            </w:r>
            <w:r w:rsidRPr="007D512D">
              <w:rPr>
                <w:rFonts w:ascii="Times New Roman" w:hAnsi="Times New Roman"/>
                <w:spacing w:val="2"/>
                <w:kern w:val="1"/>
                <w:szCs w:val="26"/>
              </w:rPr>
              <w:t>(</w:t>
            </w:r>
            <w:r w:rsidRPr="007D512D">
              <w:rPr>
                <w:rFonts w:ascii="Times New Roman" w:hAnsi="Times New Roman"/>
                <w:spacing w:val="-5"/>
                <w:kern w:val="1"/>
                <w:szCs w:val="26"/>
              </w:rPr>
              <w:t>А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,</w:t>
            </w:r>
            <w:r w:rsidRPr="007D512D">
              <w:rPr>
                <w:rFonts w:ascii="Times New Roman" w:hAnsi="Times New Roman"/>
                <w:spacing w:val="45"/>
                <w:kern w:val="1"/>
                <w:szCs w:val="26"/>
              </w:rPr>
              <w:t xml:space="preserve"> </w:t>
            </w:r>
            <w:r w:rsidRPr="007D512D">
              <w:rPr>
                <w:rFonts w:ascii="Times New Roman" w:hAnsi="Times New Roman"/>
                <w:spacing w:val="-2"/>
                <w:kern w:val="1"/>
                <w:szCs w:val="26"/>
              </w:rPr>
              <w:t>В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,</w:t>
            </w:r>
            <w:r w:rsidRPr="007D512D">
              <w:rPr>
                <w:rFonts w:ascii="Times New Roman" w:hAnsi="Times New Roman"/>
                <w:spacing w:val="46"/>
                <w:kern w:val="1"/>
                <w:szCs w:val="26"/>
              </w:rPr>
              <w:t xml:space="preserve"> 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D,</w:t>
            </w:r>
            <w:r w:rsidRPr="007D512D">
              <w:rPr>
                <w:rFonts w:ascii="Times New Roman" w:hAnsi="Times New Roman"/>
                <w:spacing w:val="41"/>
                <w:kern w:val="1"/>
                <w:szCs w:val="26"/>
              </w:rPr>
              <w:t xml:space="preserve"> </w:t>
            </w:r>
            <w:r w:rsidRPr="007D512D">
              <w:rPr>
                <w:rFonts w:ascii="Times New Roman" w:hAnsi="Times New Roman"/>
                <w:spacing w:val="2"/>
                <w:kern w:val="1"/>
                <w:szCs w:val="26"/>
              </w:rPr>
              <w:t>E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,</w:t>
            </w:r>
            <w:r w:rsidRPr="007D512D">
              <w:rPr>
                <w:rFonts w:ascii="Times New Roman" w:hAnsi="Times New Roman"/>
                <w:spacing w:val="46"/>
                <w:kern w:val="1"/>
                <w:szCs w:val="26"/>
              </w:rPr>
              <w:t xml:space="preserve"> </w:t>
            </w:r>
            <w:r w:rsidRPr="007D512D">
              <w:rPr>
                <w:rFonts w:ascii="Times New Roman" w:hAnsi="Times New Roman"/>
                <w:spacing w:val="-4"/>
                <w:kern w:val="1"/>
                <w:szCs w:val="26"/>
              </w:rPr>
              <w:t>F</w:t>
            </w:r>
            <w:r w:rsidRPr="007D512D">
              <w:rPr>
                <w:rFonts w:ascii="Times New Roman" w:hAnsi="Times New Roman"/>
                <w:spacing w:val="2"/>
                <w:kern w:val="1"/>
                <w:szCs w:val="26"/>
              </w:rPr>
              <w:t>)</w:t>
            </w:r>
            <w:r w:rsidRPr="007D512D">
              <w:rPr>
                <w:rFonts w:ascii="Times New Roman" w:hAnsi="Times New Roman"/>
                <w:i/>
                <w:iCs/>
                <w:kern w:val="1"/>
                <w:szCs w:val="26"/>
              </w:rPr>
              <w:t>.</w:t>
            </w:r>
            <w:r w:rsidRPr="007D512D">
              <w:rPr>
                <w:rFonts w:ascii="Times New Roman" w:hAnsi="Times New Roman"/>
                <w:spacing w:val="13"/>
                <w:kern w:val="1"/>
                <w:szCs w:val="26"/>
              </w:rPr>
              <w:t xml:space="preserve"> 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H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e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dd</w:t>
            </w:r>
            <w:r w:rsidRPr="007D512D">
              <w:rPr>
                <w:rFonts w:ascii="Times New Roman" w:hAnsi="Times New Roman"/>
                <w:spacing w:val="-4"/>
                <w:kern w:val="1"/>
                <w:szCs w:val="26"/>
              </w:rPr>
              <w:t>l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e</w:t>
            </w:r>
            <w:r w:rsidRPr="007D512D">
              <w:rPr>
                <w:rFonts w:ascii="Times New Roman" w:hAnsi="Times New Roman"/>
                <w:spacing w:val="-2"/>
                <w:kern w:val="1"/>
                <w:szCs w:val="26"/>
              </w:rPr>
              <w:t>s</w:t>
            </w:r>
            <w:r w:rsidRPr="007D512D">
              <w:rPr>
                <w:rFonts w:ascii="Times New Roman" w:hAnsi="Times New Roman"/>
                <w:spacing w:val="5"/>
                <w:kern w:val="1"/>
                <w:szCs w:val="26"/>
              </w:rPr>
              <w:t>to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n </w:t>
            </w:r>
            <w:r w:rsidRPr="007D512D">
              <w:rPr>
                <w:rFonts w:ascii="Times New Roman" w:hAnsi="Times New Roman"/>
                <w:spacing w:val="-5"/>
                <w:kern w:val="1"/>
                <w:szCs w:val="26"/>
              </w:rPr>
              <w:t>K</w:t>
            </w:r>
            <w:r w:rsidRPr="007D512D">
              <w:rPr>
                <w:rFonts w:ascii="Times New Roman" w:hAnsi="Times New Roman"/>
                <w:spacing w:val="2"/>
                <w:kern w:val="1"/>
                <w:szCs w:val="26"/>
              </w:rPr>
              <w:t>.</w:t>
            </w:r>
            <w:r w:rsidRPr="007D512D">
              <w:rPr>
                <w:rFonts w:ascii="Times New Roman" w:hAnsi="Times New Roman"/>
                <w:spacing w:val="-3"/>
                <w:kern w:val="1"/>
                <w:szCs w:val="26"/>
              </w:rPr>
              <w:t>L</w:t>
            </w:r>
            <w:r>
              <w:rPr>
                <w:rFonts w:ascii="Times New Roman" w:hAnsi="Times New Roman"/>
                <w:kern w:val="1"/>
                <w:szCs w:val="26"/>
              </w:rPr>
              <w:t xml:space="preserve">. 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 в р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еак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ци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и </w:t>
            </w:r>
            <w:r w:rsidRPr="007D512D">
              <w:rPr>
                <w:rFonts w:ascii="Times New Roman" w:hAnsi="Times New Roman"/>
                <w:spacing w:val="-2"/>
                <w:kern w:val="1"/>
                <w:szCs w:val="26"/>
              </w:rPr>
              <w:t>д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и</w:t>
            </w:r>
            <w:r w:rsidRPr="007D512D">
              <w:rPr>
                <w:rFonts w:ascii="Times New Roman" w:hAnsi="Times New Roman"/>
                <w:spacing w:val="-2"/>
                <w:kern w:val="1"/>
                <w:szCs w:val="26"/>
              </w:rPr>
              <w:t>ф</w:t>
            </w:r>
            <w:r w:rsidRPr="007D512D">
              <w:rPr>
                <w:rFonts w:ascii="Times New Roman" w:hAnsi="Times New Roman"/>
                <w:spacing w:val="3"/>
                <w:kern w:val="1"/>
                <w:szCs w:val="26"/>
              </w:rPr>
              <w:t>ф</w:t>
            </w:r>
            <w:r w:rsidRPr="007D512D">
              <w:rPr>
                <w:rFonts w:ascii="Times New Roman" w:hAnsi="Times New Roman"/>
                <w:spacing w:val="-10"/>
                <w:kern w:val="1"/>
                <w:szCs w:val="26"/>
              </w:rPr>
              <w:t>у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зн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ой 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п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р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е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ци</w:t>
            </w:r>
            <w:r w:rsidRPr="007D512D">
              <w:rPr>
                <w:rFonts w:ascii="Times New Roman" w:hAnsi="Times New Roman"/>
                <w:spacing w:val="-4"/>
                <w:kern w:val="1"/>
                <w:szCs w:val="26"/>
              </w:rPr>
              <w:t>п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ит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а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ци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и </w:t>
            </w:r>
            <w:r w:rsidRPr="007D512D">
              <w:rPr>
                <w:rFonts w:ascii="Times New Roman" w:hAnsi="Times New Roman"/>
                <w:spacing w:val="2"/>
                <w:kern w:val="1"/>
                <w:szCs w:val="26"/>
              </w:rPr>
              <w:t>(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Р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ДП) </w:t>
            </w:r>
            <w:r w:rsidRPr="007D512D">
              <w:rPr>
                <w:rFonts w:ascii="Times New Roman" w:hAnsi="Times New Roman"/>
                <w:spacing w:val="5"/>
                <w:kern w:val="1"/>
                <w:szCs w:val="26"/>
              </w:rPr>
              <w:t>о</w:t>
            </w:r>
            <w:r w:rsidRPr="007D512D">
              <w:rPr>
                <w:rFonts w:ascii="Times New Roman" w:hAnsi="Times New Roman"/>
                <w:spacing w:val="-2"/>
                <w:kern w:val="1"/>
                <w:szCs w:val="26"/>
              </w:rPr>
              <w:t>б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н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а</w:t>
            </w:r>
            <w:r w:rsidRPr="007D512D">
              <w:rPr>
                <w:rFonts w:ascii="Times New Roman" w:hAnsi="Times New Roman"/>
                <w:spacing w:val="5"/>
                <w:kern w:val="1"/>
                <w:szCs w:val="26"/>
              </w:rPr>
              <w:t>р</w:t>
            </w:r>
            <w:r w:rsidRPr="007D512D">
              <w:rPr>
                <w:rFonts w:ascii="Times New Roman" w:hAnsi="Times New Roman"/>
                <w:spacing w:val="-10"/>
                <w:kern w:val="1"/>
                <w:szCs w:val="26"/>
              </w:rPr>
              <w:t>у</w:t>
            </w:r>
            <w:r w:rsidRPr="007D512D">
              <w:rPr>
                <w:rFonts w:ascii="Times New Roman" w:hAnsi="Times New Roman"/>
                <w:spacing w:val="2"/>
                <w:kern w:val="1"/>
                <w:szCs w:val="26"/>
              </w:rPr>
              <w:t>ж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и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л 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н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а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л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и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ч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и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е </w:t>
            </w:r>
            <w:r w:rsidRPr="007D512D">
              <w:rPr>
                <w:rFonts w:ascii="Times New Roman" w:hAnsi="Times New Roman"/>
                <w:spacing w:val="2"/>
                <w:kern w:val="1"/>
                <w:szCs w:val="26"/>
              </w:rPr>
              <w:t>ш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ес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тн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а</w:t>
            </w:r>
            <w:r w:rsidRPr="007D512D">
              <w:rPr>
                <w:rFonts w:ascii="Times New Roman" w:hAnsi="Times New Roman"/>
                <w:spacing w:val="-2"/>
                <w:kern w:val="1"/>
                <w:szCs w:val="26"/>
              </w:rPr>
              <w:t>д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ц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а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т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и</w:t>
            </w:r>
            <w:r w:rsidRPr="007D512D">
              <w:rPr>
                <w:rFonts w:ascii="Times New Roman" w:hAnsi="Times New Roman"/>
                <w:spacing w:val="24"/>
                <w:kern w:val="1"/>
                <w:szCs w:val="26"/>
              </w:rPr>
              <w:t xml:space="preserve"> 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липополисахаридных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 xml:space="preserve"> с</w:t>
            </w:r>
            <w:r w:rsidRPr="007D512D">
              <w:rPr>
                <w:rFonts w:ascii="Times New Roman" w:hAnsi="Times New Roman"/>
                <w:spacing w:val="5"/>
                <w:kern w:val="1"/>
                <w:szCs w:val="26"/>
              </w:rPr>
              <w:t>о</w:t>
            </w:r>
            <w:r w:rsidRPr="007D512D">
              <w:rPr>
                <w:rFonts w:ascii="Times New Roman" w:hAnsi="Times New Roman"/>
                <w:spacing w:val="2"/>
                <w:kern w:val="1"/>
                <w:szCs w:val="26"/>
              </w:rPr>
              <w:t>м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а</w:t>
            </w:r>
            <w:r w:rsidRPr="007D512D">
              <w:rPr>
                <w:rFonts w:ascii="Times New Roman" w:hAnsi="Times New Roman"/>
                <w:spacing w:val="-4"/>
                <w:kern w:val="1"/>
                <w:szCs w:val="26"/>
              </w:rPr>
              <w:t>т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и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ческ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и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х</w:t>
            </w:r>
            <w:r w:rsidRPr="007D512D">
              <w:rPr>
                <w:rFonts w:ascii="Times New Roman" w:hAnsi="Times New Roman"/>
                <w:spacing w:val="17"/>
                <w:kern w:val="1"/>
                <w:szCs w:val="26"/>
              </w:rPr>
              <w:t xml:space="preserve"> </w:t>
            </w:r>
            <w:r w:rsidRPr="007D512D">
              <w:rPr>
                <w:rFonts w:ascii="Times New Roman" w:hAnsi="Times New Roman"/>
                <w:spacing w:val="4"/>
                <w:kern w:val="1"/>
                <w:szCs w:val="26"/>
              </w:rPr>
              <w:t xml:space="preserve">типов 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(протеин наружной мембраны OmpH) </w:t>
            </w:r>
            <w:r w:rsidRPr="007D512D">
              <w:rPr>
                <w:rFonts w:ascii="Times New Roman" w:hAnsi="Times New Roman"/>
                <w:spacing w:val="-2"/>
                <w:kern w:val="1"/>
                <w:szCs w:val="26"/>
              </w:rPr>
              <w:t>э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т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ой</w:t>
            </w:r>
            <w:r w:rsidRPr="007D512D">
              <w:rPr>
                <w:rFonts w:ascii="Times New Roman" w:hAnsi="Times New Roman"/>
                <w:spacing w:val="32"/>
                <w:kern w:val="1"/>
                <w:szCs w:val="26"/>
              </w:rPr>
              <w:t xml:space="preserve"> </w:t>
            </w:r>
            <w:r w:rsidRPr="007D512D">
              <w:rPr>
                <w:rFonts w:ascii="Times New Roman" w:hAnsi="Times New Roman"/>
                <w:spacing w:val="-2"/>
                <w:kern w:val="1"/>
                <w:szCs w:val="26"/>
              </w:rPr>
              <w:t>б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ак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т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е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р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и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и,</w:t>
            </w:r>
            <w:r w:rsidRPr="007D512D">
              <w:rPr>
                <w:rFonts w:ascii="Times New Roman" w:hAnsi="Times New Roman"/>
                <w:spacing w:val="28"/>
                <w:kern w:val="1"/>
                <w:szCs w:val="26"/>
              </w:rPr>
              <w:t xml:space="preserve"> </w:t>
            </w:r>
            <w:r w:rsidRPr="007D512D">
              <w:rPr>
                <w:rFonts w:ascii="Times New Roman" w:hAnsi="Times New Roman"/>
                <w:spacing w:val="2"/>
                <w:kern w:val="1"/>
                <w:szCs w:val="26"/>
              </w:rPr>
              <w:t xml:space="preserve">которые 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обозначают цифрами. На основании полученных данных авторы предлагают характеризовать штаммы P.multocida по капсульному и соматическому антигенам и в связи с этим именовать их 1:А, 3:А, 2:В и т.д. Штаммы 1:А и 3:А имеют общий капсульный антиген А, но различн</w:t>
            </w:r>
            <w:r>
              <w:rPr>
                <w:rFonts w:ascii="Times New Roman" w:hAnsi="Times New Roman"/>
                <w:kern w:val="1"/>
                <w:szCs w:val="26"/>
              </w:rPr>
              <w:t>ые соматические антигены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. 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>Штаммы пастерелл могут иметь общий капсульный антиген, но различны</w:t>
            </w:r>
            <w:r>
              <w:rPr>
                <w:rFonts w:ascii="Times New Roman" w:hAnsi="Times New Roman"/>
                <w:kern w:val="1"/>
                <w:szCs w:val="26"/>
              </w:rPr>
              <w:t>е соматические антигены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 Геморрагическую септицемию крупного рогатого скота включённую в список МЭБ, вызывают серотипы Pasteurella multocida, обозначенные 6:В и 6:Е..Основным возбудителем геморрагической септицемии у буйволов в Азии, является P. multocida серотип B:2, ответственный за развитие ос</w:t>
            </w:r>
            <w:r>
              <w:rPr>
                <w:rFonts w:ascii="Times New Roman" w:hAnsi="Times New Roman"/>
                <w:kern w:val="1"/>
                <w:szCs w:val="26"/>
              </w:rPr>
              <w:t>трого эндотоксического шока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. 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>К факторам вирулентности пастерелл также относятся капсульный полисахарид, протеин наружной мембраны (OmpH), экзо- и эндотоксины, в том числе дермонекротический токсин (tox А), играющий основную этиологическую роль в развитии атрофического</w:t>
            </w:r>
            <w:r>
              <w:rPr>
                <w:rFonts w:ascii="Times New Roman" w:hAnsi="Times New Roman"/>
                <w:kern w:val="1"/>
                <w:szCs w:val="26"/>
              </w:rPr>
              <w:t xml:space="preserve"> ринита у свиней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.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lastRenderedPageBreak/>
              <w:t xml:space="preserve">У пастерелл отмечается определённая зависимость между вирулентностью, капсулооброзованием и токсинообразованием (липополисахаридный эндотоксин и дермонекротизирующий toxA токсин). 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>Результаты исследования серологической гетерогенности пастерелл коренным образом изменили представления о пастереллезах сельскохозяйственных животных. Комбинация факторов вирулентности у штаммов и изолятов бактерии Pasteurella multocida различных серогрупп и серотипов может быть разной, и является важным маркером для определения их роли в развитии болезни, клиническом проявлении, поражении животных различных возр</w:t>
            </w:r>
            <w:r>
              <w:rPr>
                <w:rFonts w:ascii="Times New Roman" w:hAnsi="Times New Roman"/>
                <w:kern w:val="1"/>
                <w:szCs w:val="26"/>
              </w:rPr>
              <w:t>астных категорий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. С другой стороны, как антигенные детерминанты, они стимулируют развитие адаптивного иммунного ответа. 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>Основной мерой профилактики пастереллезов является вакцинация, эффективность которой зависит от полноты и специфичности антигенных детерминант, опосредующих иммунный ответ против эпизоотических штаммов, циркулирующих в хозяйствах.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>Одним из важнейших протективных антигенов бактерии и перспективным кандидатом при разработке вакцин против пастереллеза крупного рогатого скота вместе с капсульным полисахаридом является протеин наружной мембраны (OmpH) клеточной стенки. У данного протеина выявлены 2 антигенные детерминанты, аминокислотные последовательности которых различаются у разных серогрупп бактерии. По биологическим свойствам (OmpH)- антигены токсичны, активны в серологических реакциях; введение их вызывает образование специфического иммунитета. Протеин OmpH является протективным антигеном бактерии и хорошо изучен у шт</w:t>
            </w:r>
            <w:r>
              <w:rPr>
                <w:rFonts w:ascii="Times New Roman" w:hAnsi="Times New Roman"/>
                <w:kern w:val="1"/>
                <w:szCs w:val="26"/>
              </w:rPr>
              <w:t>аммов, изолированных от птиц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. Но при этом отсутствуют сведения о частоте выявления этих генов у изолятов, выделенных от телят</w:t>
            </w:r>
            <w:r>
              <w:rPr>
                <w:rFonts w:ascii="Times New Roman" w:hAnsi="Times New Roman"/>
                <w:kern w:val="1"/>
                <w:szCs w:val="26"/>
              </w:rPr>
              <w:t xml:space="preserve"> с респираторной патологией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. 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В настоящее время для борьбы с пастереллезом в нашей стране используют противопастереллезные вакцины и гипериммунную специфическую сыворотку, профилактирующие появление острого (септического) пастереллеза и недостаточно эффективно предохраняющие от возникновения пневмоний </w:t>
            </w:r>
            <w:r>
              <w:rPr>
                <w:rFonts w:ascii="Times New Roman" w:hAnsi="Times New Roman"/>
                <w:kern w:val="1"/>
                <w:szCs w:val="26"/>
              </w:rPr>
              <w:t>пастереллезной этиологии.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Несмотря на востребованность и расширение ассортимента вакцинных препаратов, перечень вакцинных штаммов, используемых 5 отечественными биопредприятиями для выпуска вакцин против пастереллеза животных и птицы на протяжении 30 лет не менялся и ограничен использованием комбинации незначительного числа штаммов серогруппы А, В и D без определения их серотиповой принадлежности по соматическому антигену и потенциальной способности к токсинообразованию растворимых соматических токсинов и дермонекротического токсина. 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>В начале восьмидесятых годов за рубежом появился ряд публикаций, посвящённых изучению биологических и физико-химических свойств токсина P.multocida серологического варианта Д, однако к настоящего времени этот токсин изучен крайне недостаточно. В нашей стране исследования в данном направлении не проводились.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>Анализ литературных данных показал отсутствие целостного подхода к методам типирования Рasteurella multocida и детектирования токсигенных вариантов.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>Среди рутинных методов типирования P.multocida по капсульному антигену до настоящего времени используется тест на выявление гиалуроновой кислоты в капсуле бактерий, и акрифлавиновая проба (МУК МСХ РФ № 22-7/82 от 20.08.1992 г). К недостаткам данного способа относится низкая специфичность, невозможность типирования серогрупп E и F и вероятность возникновения спонтанных мутаций, приводящих к появлению безкапсульных вариантов бактерии, что приводит к невозможности их типирования по данному способу.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>Типирование пастерелл по серотипам (OmpH) в нашей стране не проводится ввиду отсутствия специфических сывороток. Попытки в конце 90-х годов коллектива учёных под руководством Душука Р.В. получить типоспецифические гипериммунные сыворотки успехом не увенчались. За рубежом для типирования пастерелл по серотипам исполь</w:t>
            </w:r>
            <w:r>
              <w:rPr>
                <w:rFonts w:ascii="Times New Roman" w:hAnsi="Times New Roman"/>
                <w:kern w:val="1"/>
                <w:szCs w:val="26"/>
              </w:rPr>
              <w:t>зуют реакцию гемагглютинации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, однако коммерческие сертифицированные типовые сыворотки в свободном доступе отсутствуют.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Исследования, проведённые в разных странах, показывают широкую распространённость tox А -продуцирующих вариантов P. multocida серогрупп А и Д, выделенных от кроликов, крупного рогатого скота, кошек, собак и индеек (3, 10, 16). </w:t>
            </w:r>
            <w:hyperlink r:id="rId8" w:history="1">
              <w:r w:rsidRPr="007D512D">
                <w:rPr>
                  <w:rFonts w:ascii="Times New Roman" w:hAnsi="Times New Roman"/>
                  <w:kern w:val="1"/>
                  <w:szCs w:val="26"/>
                </w:rPr>
                <w:t>Ewers C</w:t>
              </w:r>
            </w:hyperlink>
            <w:r>
              <w:rPr>
                <w:rFonts w:ascii="Times New Roman" w:hAnsi="Times New Roman"/>
                <w:kern w:val="1"/>
                <w:szCs w:val="26"/>
              </w:rPr>
              <w:t xml:space="preserve">. Et al. 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, сообщают, что ген, кодирующий дермонекротоксин, присутствует у 12,5% изолятов пастерелл, 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lastRenderedPageBreak/>
              <w:t>выделенных от свиней, мелких жвачных животных, крупного рогатого скота и птицы. При этом установлена значимая связь со статусом заболевания у свиней. Предполагается, что гены toxA, являются важными эпидемиологическими маркерными генами для характеристики полевых штаммов P. multocida.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>В работе Шубиной Е.А. показано, что бактерии P. multocida продуцирующие дермонекротизирующий токсин (toxA), играют важную роль в патогенезе заболевания</w:t>
            </w:r>
            <w:r>
              <w:rPr>
                <w:rFonts w:ascii="Times New Roman" w:hAnsi="Times New Roman"/>
                <w:kern w:val="1"/>
                <w:szCs w:val="26"/>
              </w:rPr>
              <w:t xml:space="preserve"> свиней атрофическим ринитом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. 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Однако до настоящего времени в нашей стране исследования в данном направлении не проводились и, соответственно, сведений о типировании штаммов пастерелл по продукции дермонекротического токсина при конструировании отечественных вакцин в доступной литературе не обнаружено. 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>Методика получения дермонекротического токсина пастерелл который, является одним из основных этиологических факторов атрофического ринита свиней, не введена в научный обиход.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>При этом контроль качества отечественных вакцин базируется на определении иммуногенной активности капсульного антигена методом прямого заражения вакцинированных животных.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>Отсутствие доказательств серотиповой и токсигенной (toxA) активности штаммов пастерелл в составе отечественных вакцин является препятствием для усовершенствования методов контроля качества и разработки новых вакцин с учетом эпизоотически значимых вариантов.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Токсигенные от нетоксигенных изоляты </w:t>
            </w:r>
            <w:r w:rsidRPr="007D512D">
              <w:rPr>
                <w:rFonts w:ascii="Times New Roman" w:hAnsi="Times New Roman"/>
                <w:i/>
                <w:iCs/>
                <w:kern w:val="1"/>
                <w:szCs w:val="26"/>
              </w:rPr>
              <w:t>P. multocida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 не могут быть дифференцированы морфологией или стандартными биохимическими реакциями в связи с чем до настоящего времени традиционно используют биопробу на патогенность и вирулентность на белых мышах. 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В связи с вышеизложенным, исследования по типированию вакцинных и музейных штаммов пастерелл по капсульным антигенам, 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с</w:t>
            </w:r>
            <w:r w:rsidRPr="007D512D">
              <w:rPr>
                <w:rFonts w:ascii="Times New Roman" w:hAnsi="Times New Roman"/>
                <w:spacing w:val="5"/>
                <w:kern w:val="1"/>
                <w:szCs w:val="26"/>
              </w:rPr>
              <w:t>о</w:t>
            </w:r>
            <w:r w:rsidRPr="007D512D">
              <w:rPr>
                <w:rFonts w:ascii="Times New Roman" w:hAnsi="Times New Roman"/>
                <w:spacing w:val="2"/>
                <w:kern w:val="1"/>
                <w:szCs w:val="26"/>
              </w:rPr>
              <w:t>м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а</w:t>
            </w:r>
            <w:r w:rsidRPr="007D512D">
              <w:rPr>
                <w:rFonts w:ascii="Times New Roman" w:hAnsi="Times New Roman"/>
                <w:spacing w:val="-4"/>
                <w:kern w:val="1"/>
                <w:szCs w:val="26"/>
              </w:rPr>
              <w:t>т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и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ческ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и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м</w:t>
            </w:r>
            <w:r w:rsidRPr="007D512D">
              <w:rPr>
                <w:rFonts w:ascii="Times New Roman" w:hAnsi="Times New Roman"/>
                <w:spacing w:val="4"/>
                <w:kern w:val="1"/>
                <w:szCs w:val="26"/>
              </w:rPr>
              <w:t xml:space="preserve"> </w:t>
            </w:r>
            <w:r w:rsidRPr="007D512D">
              <w:rPr>
                <w:rFonts w:ascii="Times New Roman" w:hAnsi="Times New Roman"/>
                <w:spacing w:val="2"/>
                <w:kern w:val="1"/>
                <w:szCs w:val="26"/>
              </w:rPr>
              <w:t>(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О</w:t>
            </w:r>
            <w:r w:rsidRPr="007D512D">
              <w:rPr>
                <w:rFonts w:ascii="Times New Roman" w:hAnsi="Times New Roman"/>
                <w:spacing w:val="2"/>
                <w:kern w:val="1"/>
                <w:szCs w:val="26"/>
              </w:rPr>
              <w:t>-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)</w:t>
            </w:r>
            <w:r w:rsidRPr="007D512D">
              <w:rPr>
                <w:rFonts w:ascii="Times New Roman" w:hAnsi="Times New Roman"/>
                <w:spacing w:val="14"/>
                <w:kern w:val="1"/>
                <w:szCs w:val="26"/>
              </w:rPr>
              <w:t xml:space="preserve"> 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а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нт</w:t>
            </w:r>
            <w:r w:rsidRPr="007D512D">
              <w:rPr>
                <w:rFonts w:ascii="Times New Roman" w:hAnsi="Times New Roman"/>
                <w:spacing w:val="-4"/>
                <w:kern w:val="1"/>
                <w:szCs w:val="26"/>
              </w:rPr>
              <w:t>и</w:t>
            </w:r>
            <w:r w:rsidRPr="007D512D">
              <w:rPr>
                <w:rFonts w:ascii="Times New Roman" w:hAnsi="Times New Roman"/>
                <w:spacing w:val="2"/>
                <w:kern w:val="1"/>
                <w:szCs w:val="26"/>
              </w:rPr>
              <w:t>г</w:t>
            </w:r>
            <w:r w:rsidRPr="007D512D">
              <w:rPr>
                <w:rFonts w:ascii="Times New Roman" w:hAnsi="Times New Roman"/>
                <w:spacing w:val="-1"/>
                <w:kern w:val="1"/>
                <w:szCs w:val="26"/>
              </w:rPr>
              <w:t>е</w:t>
            </w:r>
            <w:r w:rsidRPr="007D512D">
              <w:rPr>
                <w:rFonts w:ascii="Times New Roman" w:hAnsi="Times New Roman"/>
                <w:spacing w:val="1"/>
                <w:kern w:val="1"/>
                <w:szCs w:val="26"/>
              </w:rPr>
              <w:t>н</w:t>
            </w:r>
            <w:r w:rsidRPr="007D512D">
              <w:rPr>
                <w:rFonts w:ascii="Times New Roman" w:hAnsi="Times New Roman"/>
                <w:spacing w:val="-3"/>
                <w:kern w:val="1"/>
                <w:szCs w:val="26"/>
              </w:rPr>
              <w:t xml:space="preserve">ам, 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продукции дермонекротизирующего токсина (toxA), детерминирующих антигенную активность, являются весьма актуальными и представляют несомненный интерес для практики в области стандартизации лекарственных средств. 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Использование молекулярно-генетических методов является более простым, быстрым и точным способом типирования </w:t>
            </w:r>
            <w:r w:rsidRPr="007D512D">
              <w:rPr>
                <w:rFonts w:ascii="Times New Roman" w:hAnsi="Times New Roman"/>
                <w:i/>
                <w:iCs/>
                <w:kern w:val="1"/>
                <w:szCs w:val="26"/>
              </w:rPr>
              <w:t>P. multocida.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 Анализ литературы показал принципиальную возможность типирования пяти серогрупп </w:t>
            </w:r>
            <w:r w:rsidRPr="007D512D">
              <w:rPr>
                <w:rFonts w:ascii="Times New Roman" w:hAnsi="Times New Roman"/>
                <w:i/>
                <w:iCs/>
                <w:kern w:val="1"/>
                <w:szCs w:val="26"/>
              </w:rPr>
              <w:t xml:space="preserve">P. multocida 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- A, B, D, E, и F и дермонекротизирующего токсина молекулярно-генетическими методами. В 1994 г Nagai S, Someno S, Yagihashi T. разработали ПЦР анализ для дифференцирования вирулентных штаммов Pasteurella multocida subsp. multocida от авирулентных </w:t>
            </w:r>
            <w:r>
              <w:rPr>
                <w:rFonts w:ascii="Times New Roman" w:hAnsi="Times New Roman"/>
                <w:kern w:val="1"/>
                <w:szCs w:val="26"/>
              </w:rPr>
              <w:t>штаммов на основе toxA гена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.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>Был амплифицирован toxA ген, кодирующий 143-kDa дермонекротического токсина, который, как полагают, является центральным этиологическим фактором прогрессирующего атрофического ринита свиней. Полученные результаты ПЦР 187 областей ДНК изолятов P. multocida, были совместимы с результатами тестов на коже морских свинок и анализа иммуноблотинга.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Разработкой ПЦР для выявления </w:t>
            </w:r>
            <w:r w:rsidRPr="007D512D">
              <w:rPr>
                <w:rFonts w:ascii="Times New Roman" w:hAnsi="Times New Roman"/>
                <w:i/>
                <w:iCs/>
                <w:kern w:val="1"/>
                <w:szCs w:val="26"/>
              </w:rPr>
              <w:t xml:space="preserve">P. multocida 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в биологическом материале или для типирования чистых и смешанных культур занимались </w:t>
            </w:r>
            <w:r>
              <w:rPr>
                <w:rFonts w:ascii="Times New Roman" w:hAnsi="Times New Roman"/>
                <w:spacing w:val="1"/>
                <w:kern w:val="1"/>
                <w:szCs w:val="26"/>
              </w:rPr>
              <w:t>Lichtensteiger CA, et al.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1"/>
                <w:szCs w:val="26"/>
              </w:rPr>
              <w:t>Nagai S.H.,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 и другие. В нашей стране разработке ПЦР для выявления </w:t>
            </w:r>
            <w:r w:rsidRPr="007D512D">
              <w:rPr>
                <w:rFonts w:ascii="Times New Roman" w:hAnsi="Times New Roman"/>
                <w:i/>
                <w:iCs/>
                <w:kern w:val="1"/>
                <w:szCs w:val="26"/>
              </w:rPr>
              <w:t xml:space="preserve">P. multocida 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и </w:t>
            </w:r>
            <w:r w:rsidRPr="007D512D">
              <w:rPr>
                <w:rFonts w:ascii="Times New Roman" w:hAnsi="Times New Roman"/>
                <w:i/>
                <w:iCs/>
                <w:kern w:val="1"/>
                <w:szCs w:val="26"/>
              </w:rPr>
              <w:t xml:space="preserve">M. haemolytica 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>посвя</w:t>
            </w:r>
            <w:r>
              <w:rPr>
                <w:rFonts w:ascii="Times New Roman" w:hAnsi="Times New Roman"/>
                <w:kern w:val="1"/>
                <w:szCs w:val="26"/>
              </w:rPr>
              <w:t>щена работа Терентьевой Т.А.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 и А</w:t>
            </w:r>
            <w:r>
              <w:rPr>
                <w:rFonts w:ascii="Times New Roman" w:hAnsi="Times New Roman"/>
                <w:kern w:val="1"/>
                <w:szCs w:val="26"/>
              </w:rPr>
              <w:t>.В. Нефедченко А.В. и др.,</w:t>
            </w:r>
            <w:r w:rsidRPr="007D512D">
              <w:rPr>
                <w:rFonts w:ascii="Times New Roman" w:hAnsi="Times New Roman"/>
                <w:b/>
                <w:bCs/>
                <w:kern w:val="1"/>
                <w:szCs w:val="26"/>
              </w:rPr>
              <w:t xml:space="preserve"> </w:t>
            </w:r>
          </w:p>
          <w:p w:rsidR="007D512D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1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Таким образом, возникла необходимость сравнения специфичности биохимических, биологических и молекулярно-генетических методов типирования капсулярных типов серовариантов пастерелл и детектирования токсигенных вариантов </w:t>
            </w:r>
            <w:r w:rsidRPr="007D512D">
              <w:rPr>
                <w:rFonts w:ascii="Times New Roman" w:hAnsi="Times New Roman"/>
                <w:i/>
                <w:iCs/>
                <w:kern w:val="1"/>
                <w:szCs w:val="26"/>
              </w:rPr>
              <w:t>P. multocida</w:t>
            </w: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 на примере вакцинных, музейных штаммов и полевых изолятов пастерелл</w:t>
            </w:r>
          </w:p>
          <w:p w:rsidR="009608D5" w:rsidRPr="007D512D" w:rsidRDefault="007D512D" w:rsidP="007D5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 xml:space="preserve">Это позволит учитывать антигенную разнородность при определении способности коммерческих вакцин защищать животных от пастереллеза различных сергрупп и сероваров, выявлять серовары, против которых вакцины не эффективны; определять потенциальную опасность таких сероваров для животных. 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исследования</w:t>
            </w:r>
          </w:p>
        </w:tc>
        <w:tc>
          <w:tcPr>
            <w:tcW w:w="8647" w:type="dxa"/>
          </w:tcPr>
          <w:p w:rsidR="005F2089" w:rsidRPr="007D512D" w:rsidRDefault="007D512D" w:rsidP="007D512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1"/>
                <w:sz w:val="26"/>
                <w:szCs w:val="26"/>
              </w:rPr>
            </w:pPr>
            <w:r w:rsidRPr="007D512D">
              <w:rPr>
                <w:rFonts w:ascii="Times New Roman" w:hAnsi="Times New Roman"/>
                <w:kern w:val="1"/>
                <w:szCs w:val="26"/>
              </w:rPr>
              <w:t>Целью исследований II этапа НИР является</w:t>
            </w:r>
            <w:r w:rsidRPr="007D512D">
              <w:rPr>
                <w:rFonts w:ascii="Times New Roman" w:hAnsi="Times New Roman"/>
                <w:bCs/>
                <w:kern w:val="1"/>
                <w:szCs w:val="26"/>
              </w:rPr>
              <w:t>: разработка молекулярно-генетического метода типирования штаммов пастерелл по серогруппам и серотипам и детектирования токсигенных вариантов</w:t>
            </w:r>
          </w:p>
        </w:tc>
      </w:tr>
      <w:tr w:rsidR="00801F67" w:rsidRPr="00FC50A9" w:rsidTr="0053183E">
        <w:trPr>
          <w:trHeight w:val="9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8647" w:type="dxa"/>
          </w:tcPr>
          <w:p w:rsidR="004F1EDA" w:rsidRPr="004F1EDA" w:rsidRDefault="004F1EDA" w:rsidP="004F1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4F1EDA">
              <w:rPr>
                <w:rFonts w:ascii="Times New Roman" w:hAnsi="Times New Roman"/>
                <w:kern w:val="1"/>
                <w:szCs w:val="26"/>
              </w:rPr>
              <w:t xml:space="preserve">1. Будет проведено фенотипическое, биохимическое, биологическое типирование вакцинных, музейных и эпизоотических штаммов пастерелл, выделены токсигенные варианты по продукции дермонекротического токсина. </w:t>
            </w:r>
          </w:p>
          <w:p w:rsidR="004F1EDA" w:rsidRPr="004F1EDA" w:rsidRDefault="004F1EDA" w:rsidP="004F1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4F1EDA">
              <w:rPr>
                <w:rFonts w:ascii="Times New Roman" w:hAnsi="Times New Roman"/>
                <w:kern w:val="1"/>
                <w:szCs w:val="26"/>
              </w:rPr>
              <w:t>2. В ходе работы будут собраны и обработаны литературные данные по тематике НИР, а также проведена проверка пригодности биохимического метода типирования штаммов пастерелл, пригодность методики контроля штаммов пастерелл на токсинообразование,  изучены нуклеотидные последовательности генов мишеней по публичным базам данных (GenBank), проведен выбор праймеров, и зондов, позволяющих амплифицировать фрагменты генома P. multocida, синтез ПЦР праймеров, зондов, подбор условий реакции амплификации, проведена проверка пригодности молекулярно-генетических методов исследования для решения поставленной задачи.</w:t>
            </w:r>
          </w:p>
          <w:p w:rsidR="004F1EDA" w:rsidRPr="004F1EDA" w:rsidRDefault="004F1EDA" w:rsidP="004F1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Cs w:val="26"/>
              </w:rPr>
            </w:pPr>
            <w:r w:rsidRPr="004F1EDA">
              <w:rPr>
                <w:rFonts w:ascii="Times New Roman" w:hAnsi="Times New Roman"/>
                <w:kern w:val="1"/>
                <w:szCs w:val="26"/>
              </w:rPr>
              <w:t xml:space="preserve">3. Будет проведено молекулярно-генетическое типирование коллекционных </w:t>
            </w:r>
          </w:p>
          <w:p w:rsidR="005F2089" w:rsidRPr="007D512D" w:rsidRDefault="004F1EDA" w:rsidP="004F1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7030A0"/>
                <w:kern w:val="1"/>
                <w:sz w:val="26"/>
                <w:szCs w:val="26"/>
              </w:rPr>
            </w:pPr>
            <w:r w:rsidRPr="004F1EDA">
              <w:rPr>
                <w:rFonts w:ascii="Times New Roman" w:hAnsi="Times New Roman"/>
                <w:kern w:val="1"/>
                <w:szCs w:val="26"/>
              </w:rPr>
              <w:t>и вакцинных штаммов пастерелл.</w:t>
            </w:r>
            <w:bookmarkStart w:id="0" w:name="_GoBack"/>
            <w:bookmarkEnd w:id="0"/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77" w:rsidRDefault="00A14D77" w:rsidP="00801F67">
      <w:pPr>
        <w:spacing w:after="0" w:line="240" w:lineRule="auto"/>
      </w:pPr>
      <w:r>
        <w:separator/>
      </w:r>
    </w:p>
  </w:endnote>
  <w:endnote w:type="continuationSeparator" w:id="0">
    <w:p w:rsidR="00A14D77" w:rsidRDefault="00A14D77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77" w:rsidRDefault="00A14D77" w:rsidP="00801F67">
      <w:pPr>
        <w:spacing w:after="0" w:line="240" w:lineRule="auto"/>
      </w:pPr>
      <w:r>
        <w:separator/>
      </w:r>
    </w:p>
  </w:footnote>
  <w:footnote w:type="continuationSeparator" w:id="0">
    <w:p w:rsidR="00A14D77" w:rsidRDefault="00A14D77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5C5"/>
    <w:multiLevelType w:val="hybridMultilevel"/>
    <w:tmpl w:val="B5DA25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7232"/>
    <w:multiLevelType w:val="hybridMultilevel"/>
    <w:tmpl w:val="65724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7430FE"/>
    <w:multiLevelType w:val="multilevel"/>
    <w:tmpl w:val="50F4FD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5E0B2612"/>
    <w:multiLevelType w:val="multilevel"/>
    <w:tmpl w:val="172AF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321461"/>
    <w:rsid w:val="00394CA8"/>
    <w:rsid w:val="003F67D4"/>
    <w:rsid w:val="004B4591"/>
    <w:rsid w:val="004C3CDD"/>
    <w:rsid w:val="004F1EDA"/>
    <w:rsid w:val="0053183E"/>
    <w:rsid w:val="005F2089"/>
    <w:rsid w:val="006E29A9"/>
    <w:rsid w:val="007D512D"/>
    <w:rsid w:val="007E00C2"/>
    <w:rsid w:val="00801F67"/>
    <w:rsid w:val="0087668B"/>
    <w:rsid w:val="008D4E48"/>
    <w:rsid w:val="008F019B"/>
    <w:rsid w:val="008F6E31"/>
    <w:rsid w:val="009608D5"/>
    <w:rsid w:val="00996A97"/>
    <w:rsid w:val="00A13C64"/>
    <w:rsid w:val="00A14D77"/>
    <w:rsid w:val="00A950BA"/>
    <w:rsid w:val="00B3500F"/>
    <w:rsid w:val="00B71A09"/>
    <w:rsid w:val="00C0191F"/>
    <w:rsid w:val="00C047D5"/>
    <w:rsid w:val="00C24072"/>
    <w:rsid w:val="00C363C1"/>
    <w:rsid w:val="00C44AF5"/>
    <w:rsid w:val="00C6594D"/>
    <w:rsid w:val="00C73CA8"/>
    <w:rsid w:val="00D4732A"/>
    <w:rsid w:val="00DC5593"/>
    <w:rsid w:val="00DD27FC"/>
    <w:rsid w:val="00DF1B1B"/>
    <w:rsid w:val="00E22C03"/>
    <w:rsid w:val="00E33D63"/>
    <w:rsid w:val="00E37503"/>
    <w:rsid w:val="00ED693A"/>
    <w:rsid w:val="00F126FE"/>
    <w:rsid w:val="00F34C56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5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5">
    <w:name w:val="Абзац списка Знак"/>
    <w:link w:val="1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6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rsid w:val="00B71A09"/>
    <w:rPr>
      <w:color w:val="0000FF"/>
      <w:u w:val="single"/>
    </w:rPr>
  </w:style>
  <w:style w:type="paragraph" w:customStyle="1" w:styleId="2">
    <w:name w:val="Абзац списка2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"/>
    <w:uiPriority w:val="34"/>
    <w:locked/>
    <w:rsid w:val="00B71A09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F126FE"/>
    <w:rPr>
      <w:b/>
      <w:bCs/>
    </w:rPr>
  </w:style>
  <w:style w:type="paragraph" w:styleId="20">
    <w:name w:val="Body Text 2"/>
    <w:basedOn w:val="a"/>
    <w:link w:val="21"/>
    <w:rsid w:val="00C047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047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-">
    <w:name w:val="ГОСТ - Текст"/>
    <w:basedOn w:val="a"/>
    <w:link w:val="-0"/>
    <w:uiPriority w:val="3"/>
    <w:qFormat/>
    <w:rsid w:val="008D4E48"/>
    <w:pPr>
      <w:spacing w:before="240" w:line="36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-0">
    <w:name w:val="ГОСТ - Текст Знак"/>
    <w:basedOn w:val="a0"/>
    <w:link w:val="-"/>
    <w:uiPriority w:val="3"/>
    <w:rsid w:val="008D4E48"/>
    <w:rPr>
      <w:rFonts w:ascii="Times New Roman" w:hAnsi="Times New Roman" w:cs="Times New Roman"/>
      <w:sz w:val="28"/>
    </w:rPr>
  </w:style>
  <w:style w:type="paragraph" w:styleId="a9">
    <w:name w:val="Title"/>
    <w:basedOn w:val="a"/>
    <w:link w:val="aa"/>
    <w:qFormat/>
    <w:rsid w:val="00ED693A"/>
    <w:pPr>
      <w:spacing w:after="60" w:line="240" w:lineRule="auto"/>
      <w:ind w:firstLine="851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ED693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b">
    <w:name w:val="annotation reference"/>
    <w:uiPriority w:val="99"/>
    <w:semiHidden/>
    <w:unhideWhenUsed/>
    <w:rsid w:val="00DC5593"/>
    <w:rPr>
      <w:sz w:val="16"/>
      <w:szCs w:val="16"/>
    </w:rPr>
  </w:style>
  <w:style w:type="paragraph" w:customStyle="1" w:styleId="210">
    <w:name w:val="Основной текст 21"/>
    <w:basedOn w:val="a"/>
    <w:rsid w:val="0053183E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Ewers%20C%5BAuthor%5D&amp;cauthor=true&amp;cauthor_uid=164272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25D75-0626-4874-A672-754AF51A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3</cp:revision>
  <dcterms:created xsi:type="dcterms:W3CDTF">2021-01-26T08:09:00Z</dcterms:created>
  <dcterms:modified xsi:type="dcterms:W3CDTF">2021-01-26T14:19:00Z</dcterms:modified>
</cp:coreProperties>
</file>